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3D" w:rsidRPr="00864B3D" w:rsidRDefault="00864B3D" w:rsidP="00864B3D">
      <w:pPr>
        <w:jc w:val="center"/>
        <w:rPr>
          <w:lang w:eastAsia="en-US"/>
        </w:rPr>
      </w:pPr>
      <w:bookmarkStart w:id="0" w:name="_GoBack"/>
      <w:bookmarkEnd w:id="0"/>
      <w:r w:rsidRPr="00864B3D">
        <w:rPr>
          <w:lang w:eastAsia="en-US"/>
        </w:rPr>
        <w:t>Отчет</w:t>
      </w:r>
    </w:p>
    <w:p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инвестиционного уполномоченного</w:t>
      </w:r>
    </w:p>
    <w:p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в городском округе Верх-Нейвинский за 2021 год</w:t>
      </w:r>
    </w:p>
    <w:p w:rsidR="00864B3D" w:rsidRPr="00864B3D" w:rsidRDefault="00864B3D" w:rsidP="00864B3D">
      <w:pPr>
        <w:jc w:val="center"/>
        <w:rPr>
          <w:lang w:eastAsia="en-US"/>
        </w:rPr>
      </w:pP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 xml:space="preserve">Согласно </w:t>
      </w:r>
      <w:proofErr w:type="gramStart"/>
      <w:r w:rsidRPr="00864B3D">
        <w:rPr>
          <w:lang w:eastAsia="en-US"/>
        </w:rPr>
        <w:t>постановлению администрации городского округа</w:t>
      </w:r>
      <w:proofErr w:type="gramEnd"/>
      <w:r w:rsidRPr="00864B3D">
        <w:rPr>
          <w:lang w:eastAsia="en-US"/>
        </w:rPr>
        <w:t xml:space="preserve"> Верх-Нейвинский № 331а от 08.07.2015 инвестиционным уполномоченным городского округа Верх-Нейвинский назначен заместитель главы администрации городского округа Верх-Нейвинский </w:t>
      </w:r>
      <w:proofErr w:type="spellStart"/>
      <w:r w:rsidRPr="00864B3D">
        <w:rPr>
          <w:lang w:eastAsia="en-US"/>
        </w:rPr>
        <w:t>Щекалев</w:t>
      </w:r>
      <w:proofErr w:type="spellEnd"/>
      <w:r w:rsidRPr="00864B3D">
        <w:rPr>
          <w:lang w:eastAsia="en-US"/>
        </w:rPr>
        <w:t xml:space="preserve"> Николай Николаевич.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Для информационного сопровождения, с целью привлечения потенциальных инвесторов, на официальном сайте городского округа vneyvinsk.midural.ru создан раздел «Инвестиции», который обеспечивает наглядное представление инвестиционных возможностей городского округа.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городском округе Верх-Нейвинский сформирован муниципальный инвестиционный стандарт, представляющий собой набор базовых инструментов, позволяющих создать благоприятный инвестиционный климат: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об инвестиционном уполномоченном;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-Регламент по сопровождению инвестиционных проектов на территории городского округа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и состав координационного совета по инвестициям и развитию предпринимательства в городском округе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-Муниципальная программа «Развитие малого и среднего предпринимательства в городском округе Верх-Нейвинский на 2019-2023 годы»;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-Инвестиционный паспорт городского округа Верх-Нейвинский за 2021 год.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 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По итогам 2021 года на территории городского округа реализованы следующие наиболее значимые инвестиционные проекты: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1. Реализуется муниципальный контракт по капитальному ремонту </w:t>
      </w:r>
      <w:r w:rsidRPr="00864B3D">
        <w:rPr>
          <w:lang w:val="en-US" w:eastAsia="en-US"/>
        </w:rPr>
        <w:t>I</w:t>
      </w:r>
      <w:r w:rsidRPr="00864B3D">
        <w:rPr>
          <w:lang w:eastAsia="en-US"/>
        </w:rPr>
        <w:t>-корпуса д/с «Солнышко».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2. Выполнен капитальный ремонт </w:t>
      </w:r>
      <w:r w:rsidRPr="00864B3D">
        <w:rPr>
          <w:lang w:val="en-US" w:eastAsia="en-US"/>
        </w:rPr>
        <w:t>II</w:t>
      </w:r>
      <w:r w:rsidRPr="00864B3D">
        <w:rPr>
          <w:lang w:eastAsia="en-US"/>
        </w:rPr>
        <w:t xml:space="preserve"> корпуса д/с «Солнышко», введен в эксплуатацию.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3. Выполняется строительство газопроводов в рамках «социальной до газификации».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4. Осуществлен ремонт улично-дорожной сети на общую сумму 8,0 млн. руб.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На производственной площадке Филиала «ПСЦМ» АО «</w:t>
      </w:r>
      <w:proofErr w:type="spellStart"/>
      <w:r w:rsidRPr="00864B3D">
        <w:rPr>
          <w:lang w:eastAsia="en-US"/>
        </w:rPr>
        <w:t>Уралэлектромедь</w:t>
      </w:r>
      <w:proofErr w:type="spellEnd"/>
      <w:r w:rsidRPr="00864B3D">
        <w:rPr>
          <w:lang w:eastAsia="en-US"/>
        </w:rPr>
        <w:t xml:space="preserve">» выполнено:                                                          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*Усовершенствование наружного освещения </w:t>
      </w:r>
      <w:proofErr w:type="spellStart"/>
      <w:r w:rsidRPr="00864B3D">
        <w:rPr>
          <w:lang w:eastAsia="en-US"/>
        </w:rPr>
        <w:t>автовесовой</w:t>
      </w:r>
      <w:proofErr w:type="spellEnd"/>
      <w:r w:rsidRPr="00864B3D">
        <w:rPr>
          <w:lang w:eastAsia="en-US"/>
        </w:rPr>
        <w:t xml:space="preserve">;                  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*Приобретение в РМЦ ПСЦМ нового оборудования-плазменной резки;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*Приобретение в РМЦ ПСЦМ новых фильтровентиляционных установок;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*Приобретение в РМЦ ПСЦМ аппарата для </w:t>
      </w:r>
      <w:proofErr w:type="spellStart"/>
      <w:r w:rsidRPr="00864B3D">
        <w:rPr>
          <w:lang w:eastAsia="en-US"/>
        </w:rPr>
        <w:t>гидроиспытаний</w:t>
      </w:r>
      <w:proofErr w:type="spellEnd"/>
      <w:r w:rsidRPr="00864B3D">
        <w:rPr>
          <w:lang w:eastAsia="en-US"/>
        </w:rPr>
        <w:t xml:space="preserve"> готовых изделий;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*Приобретение в РМЦ ПСЦМ гибочного станка.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Объем инвестиций в основной капитал по организациям, не относящимся к субъектам малого предпринимательства, городского округа Верх-Нейвинский за 2021 год уменьшился на 25,3% и составил 38 796 тысяч рублей, за соответствующий период 2020 года он составлял 51 933 тыс. руб. Снижение инвестиций стало следствием пандемии и карантинных мер.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На период 2022-2023 годы на территории городского округа планируется реализация следующих инвестиционных проектов: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Строительство физкультурного оздоровительного комплекса (ФОК);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 Капитальный ремонт I корпуса МАДОУ </w:t>
      </w:r>
      <w:proofErr w:type="spellStart"/>
      <w:r w:rsidRPr="00864B3D">
        <w:rPr>
          <w:lang w:eastAsia="en-US"/>
        </w:rPr>
        <w:t>д.с</w:t>
      </w:r>
      <w:proofErr w:type="spellEnd"/>
      <w:r w:rsidRPr="00864B3D">
        <w:rPr>
          <w:lang w:eastAsia="en-US"/>
        </w:rPr>
        <w:t>. «Солнышко» (</w:t>
      </w:r>
      <w:proofErr w:type="spellStart"/>
      <w:r w:rsidRPr="00864B3D">
        <w:rPr>
          <w:lang w:eastAsia="en-US"/>
        </w:rPr>
        <w:t>пгт</w:t>
      </w:r>
      <w:proofErr w:type="spellEnd"/>
      <w:r w:rsidRPr="00864B3D">
        <w:rPr>
          <w:lang w:eastAsia="en-US"/>
        </w:rPr>
        <w:t xml:space="preserve"> Верх-</w:t>
      </w:r>
      <w:proofErr w:type="spellStart"/>
      <w:r w:rsidRPr="00864B3D">
        <w:rPr>
          <w:lang w:eastAsia="en-US"/>
        </w:rPr>
        <w:t>Нейвинскийул</w:t>
      </w:r>
      <w:proofErr w:type="spellEnd"/>
      <w:r w:rsidRPr="00864B3D">
        <w:rPr>
          <w:lang w:eastAsia="en-US"/>
        </w:rPr>
        <w:t>, Калинина, д10) (благоустройство);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-Реконструкция участка газопровода муниципального исторического сквера городского округа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Реконструкция объекта культурного наследия регионального значения "Здание волостного правления» (</w:t>
      </w:r>
      <w:proofErr w:type="spellStart"/>
      <w:r w:rsidRPr="00864B3D">
        <w:rPr>
          <w:lang w:eastAsia="en-US"/>
        </w:rPr>
        <w:t>пгт</w:t>
      </w:r>
      <w:proofErr w:type="spellEnd"/>
      <w:r w:rsidRPr="00864B3D">
        <w:rPr>
          <w:lang w:eastAsia="en-US"/>
        </w:rPr>
        <w:t xml:space="preserve"> Верх-Нейвинский, пл. Революции, д. 10);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-Ремонт автомобильных дорог местного значения;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Приобретение и замена оборудования на производственной площадке Филиала «ПСЦМ» АО «</w:t>
      </w:r>
      <w:proofErr w:type="spellStart"/>
      <w:r w:rsidRPr="00864B3D">
        <w:rPr>
          <w:lang w:eastAsia="en-US"/>
        </w:rPr>
        <w:t>Уралэлектромедь</w:t>
      </w:r>
      <w:proofErr w:type="spellEnd"/>
      <w:r w:rsidRPr="00864B3D">
        <w:rPr>
          <w:lang w:eastAsia="en-US"/>
        </w:rPr>
        <w:t>».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lastRenderedPageBreak/>
        <w:tab/>
      </w:r>
      <w:r w:rsidRPr="00864B3D">
        <w:rPr>
          <w:lang w:eastAsia="en-US"/>
        </w:rPr>
        <w:t>Муниципальные услуги в сфере архитектуры, градостроительства, земельно-имущественных отношений и предоставления поддержки инвесторам оказываются в соответствии с утвержденными административными регламентами.</w:t>
      </w:r>
    </w:p>
    <w:p w:rsidR="00864B3D" w:rsidRDefault="00864B3D" w:rsidP="00864B3D">
      <w:pPr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ab/>
      </w:r>
      <w:r w:rsidRPr="00864B3D">
        <w:rPr>
          <w:bCs/>
          <w:iCs/>
          <w:lang w:eastAsia="en-US"/>
        </w:rPr>
        <w:t>На официальном сайте городского округа Верх-Нейвинский (vneyvinsk.midural.ru) в разделе «Торги» размещена информация о проведении аукционов по продаже объектов муниципальной собственности.</w:t>
      </w:r>
    </w:p>
    <w:p w:rsidR="00864B3D" w:rsidRPr="00864B3D" w:rsidRDefault="00864B3D" w:rsidP="00864B3D">
      <w:pPr>
        <w:jc w:val="both"/>
        <w:rPr>
          <w:bCs/>
          <w:iCs/>
          <w:lang w:eastAsia="en-US"/>
        </w:rPr>
      </w:pPr>
      <w:r w:rsidRPr="00864B3D">
        <w:rPr>
          <w:b/>
          <w:bCs/>
          <w:i/>
          <w:iCs/>
          <w:lang w:eastAsia="en-US"/>
        </w:rPr>
        <w:t xml:space="preserve"> </w:t>
      </w:r>
      <w:r w:rsidRPr="00864B3D">
        <w:rPr>
          <w:bCs/>
          <w:iCs/>
          <w:lang w:eastAsia="en-US"/>
        </w:rPr>
        <w:tab/>
        <w:t xml:space="preserve">-2 земельных участка под ИЖС по договору аренды, общей площадью 1926 </w:t>
      </w:r>
      <w:proofErr w:type="spellStart"/>
      <w:r w:rsidRPr="00864B3D">
        <w:rPr>
          <w:bCs/>
          <w:iCs/>
          <w:lang w:eastAsia="en-US"/>
        </w:rPr>
        <w:t>кв.м</w:t>
      </w:r>
      <w:proofErr w:type="spellEnd"/>
      <w:r w:rsidRPr="00864B3D">
        <w:rPr>
          <w:bCs/>
          <w:iCs/>
          <w:lang w:eastAsia="en-US"/>
        </w:rPr>
        <w:t xml:space="preserve">., </w:t>
      </w:r>
    </w:p>
    <w:p w:rsidR="00864B3D" w:rsidRPr="00864B3D" w:rsidRDefault="00864B3D" w:rsidP="00864B3D">
      <w:pPr>
        <w:jc w:val="both"/>
        <w:rPr>
          <w:bCs/>
          <w:iCs/>
          <w:lang w:eastAsia="en-US"/>
        </w:rPr>
      </w:pPr>
      <w:r w:rsidRPr="00864B3D">
        <w:rPr>
          <w:bCs/>
          <w:iCs/>
          <w:lang w:eastAsia="en-US"/>
        </w:rPr>
        <w:t xml:space="preserve">-1 земельный участок ЛПХ 400 </w:t>
      </w:r>
      <w:proofErr w:type="spellStart"/>
      <w:r w:rsidRPr="00864B3D">
        <w:rPr>
          <w:bCs/>
          <w:iCs/>
          <w:lang w:eastAsia="en-US"/>
        </w:rPr>
        <w:t>кв.м</w:t>
      </w:r>
      <w:proofErr w:type="spellEnd"/>
      <w:r w:rsidRPr="00864B3D">
        <w:rPr>
          <w:bCs/>
          <w:iCs/>
          <w:lang w:eastAsia="en-US"/>
        </w:rPr>
        <w:t xml:space="preserve">., 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-1 земельный участок для обслуживания автотранспорта 176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>.,</w:t>
      </w:r>
    </w:p>
    <w:p w:rsidR="00864B3D" w:rsidRPr="00864B3D" w:rsidRDefault="00864B3D" w:rsidP="00864B3D">
      <w:pPr>
        <w:jc w:val="both"/>
        <w:rPr>
          <w:bCs/>
          <w:iCs/>
          <w:lang w:eastAsia="en-US"/>
        </w:rPr>
      </w:pPr>
      <w:r w:rsidRPr="00864B3D">
        <w:rPr>
          <w:bCs/>
          <w:iCs/>
          <w:lang w:eastAsia="en-US"/>
        </w:rPr>
        <w:t xml:space="preserve">-1 земельный участок под склады 3 776 </w:t>
      </w:r>
      <w:proofErr w:type="spellStart"/>
      <w:r w:rsidRPr="00864B3D">
        <w:rPr>
          <w:bCs/>
          <w:iCs/>
          <w:lang w:eastAsia="en-US"/>
        </w:rPr>
        <w:t>кв.м</w:t>
      </w:r>
      <w:proofErr w:type="spellEnd"/>
      <w:r w:rsidRPr="00864B3D">
        <w:rPr>
          <w:bCs/>
          <w:iCs/>
          <w:lang w:eastAsia="en-US"/>
        </w:rPr>
        <w:t>.,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-1 земельный участок под магазин 150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>.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В 2021 году заключено 12 договоров купли – продажи, (в том числе ИЖС - 12 земельных участков, общей площадью 16144,0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.), заключено 46 договоров аренды, (в том числе ИЖС - 16 земельных участков, общей площадью 22535,0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ЛПХ – 4 земельных участка, общей площадью 5552,0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предоставлен для строительства блочной модульной газовой котельной, площадью 2811,0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14 земельных участка предоставлено для хранения автотранспорта, общей площадью 371,0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предоставлен для связи, площадью 162,0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предоставлен для малоэтажной многоквартирной застройки, площадью 1559,0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2 земельных участка для объекта дорожного сервиса, общей площадью 10778,0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2 земельных участка предоставлено под магазины, общей площадью 4790,0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предоставлен для предпринимательства, площадью 68,0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для строительной промышленности, площадью 5075,0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под складское назначение, площадью 1803,0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для размещения объекта общественного питания, площадью 292,0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под объекты торгово-развлекательного центра, площадью 1090,0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под объекты торговли (магазины), площадью 1286,0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., 1 земельный участок под коммунальное обслуживание, площадью 450,0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.), 43 земельных участка предоставлено в собственность бесплатно для ведения садоводства. 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Выдано 32 разрешение (уведомление) на строительство и реконструкцию объектов капитального строительства, из них 23 на строительство индивидуальных жилых домов. 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>Подготовлено и выдано 13 градостроительных планов земельных участков.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4 объекта ИЖС введено через Администрацию городского округа Верх-Нейвинский, общей площадью 392,4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 В связи с поправкой в законодательстве разрешительную документацию на строительство ИЖС граждане могут регистрировать самостоятельно через МФЦ. Всего за 2021 год введено 3101,0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 процент выполнения установленного показателя 99,6.  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Выдано 1 разрешение на ввод в эксплуатацию объекта капитального строительства на территории городского округа Верх-Нейвинский, введено 99,0 </w:t>
      </w:r>
      <w:proofErr w:type="spellStart"/>
      <w:r w:rsidRPr="00864B3D">
        <w:rPr>
          <w:lang w:eastAsia="en-US"/>
        </w:rPr>
        <w:t>кв.м</w:t>
      </w:r>
      <w:proofErr w:type="spellEnd"/>
      <w:r w:rsidRPr="00864B3D">
        <w:rPr>
          <w:lang w:eastAsia="en-US"/>
        </w:rPr>
        <w:t xml:space="preserve">. ИП </w:t>
      </w:r>
      <w:proofErr w:type="spellStart"/>
      <w:r w:rsidRPr="00864B3D">
        <w:rPr>
          <w:lang w:eastAsia="en-US"/>
        </w:rPr>
        <w:t>Тактуев</w:t>
      </w:r>
      <w:proofErr w:type="spellEnd"/>
      <w:r w:rsidRPr="00864B3D">
        <w:rPr>
          <w:lang w:eastAsia="en-US"/>
        </w:rPr>
        <w:t xml:space="preserve"> Андрей Викторович, пристрой к нежилому зданию.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ab/>
        <w:t>Доля стоимости заключенных контрактов в течении 2021 года с субъектами малого предпринимательства по процедурам торгов в соответствии с требованиями Федерального закона от   05.04.2013 года № 44-ФЗ составили 19,5% или 1 902,06 тыс. руб. в общей стоимости заключенных муниципальных контрактов на сумму 9 742,16 тыс. руб.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целях создания благоприятных условий для привлечения инвестиций, стимулирования деловой активности, улучшения инвестиционного климата на территории городского округа Верх-Нейвинский на 2022 год разработан план работы инвестици</w:t>
      </w:r>
      <w:r>
        <w:rPr>
          <w:lang w:eastAsia="en-US"/>
        </w:rPr>
        <w:t>онного уполномоченного.</w:t>
      </w:r>
    </w:p>
    <w:p w:rsidR="00864B3D" w:rsidRPr="00864B3D" w:rsidRDefault="00864B3D" w:rsidP="00864B3D">
      <w:pPr>
        <w:jc w:val="both"/>
        <w:rPr>
          <w:lang w:eastAsia="en-US"/>
        </w:rPr>
      </w:pP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>Инвестиционный уполномоченный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Городского округа Верх-Нейвинский                                             Н.Н. </w:t>
      </w:r>
      <w:proofErr w:type="spellStart"/>
      <w:r w:rsidRPr="00864B3D">
        <w:rPr>
          <w:lang w:eastAsia="en-US"/>
        </w:rPr>
        <w:t>Щекалев</w:t>
      </w:r>
      <w:proofErr w:type="spellEnd"/>
    </w:p>
    <w:p w:rsidR="00864B3D" w:rsidRPr="00864B3D" w:rsidRDefault="00864B3D" w:rsidP="00864B3D">
      <w:pPr>
        <w:jc w:val="both"/>
        <w:rPr>
          <w:lang w:eastAsia="en-US"/>
        </w:rPr>
      </w:pPr>
    </w:p>
    <w:p w:rsidR="00274BFD" w:rsidRPr="00864B3D" w:rsidRDefault="00274BFD" w:rsidP="00864B3D">
      <w:pPr>
        <w:jc w:val="both"/>
      </w:pPr>
    </w:p>
    <w:sectPr w:rsidR="00274BFD" w:rsidRPr="00864B3D" w:rsidSect="00864B3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BF"/>
    <w:rsid w:val="00274BFD"/>
    <w:rsid w:val="00864B3D"/>
    <w:rsid w:val="009764BF"/>
    <w:rsid w:val="00CA3EB9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D95F-CA82-42E8-A823-5B93BD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E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A3EB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CA3EB9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A3EB9"/>
    <w:pPr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A3EB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3EB9"/>
    <w:pPr>
      <w:shd w:val="clear" w:color="auto" w:fill="FFFFFF"/>
      <w:spacing w:after="480" w:line="322" w:lineRule="exact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locked/>
    <w:rsid w:val="00CA3EB9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A3EB9"/>
    <w:pPr>
      <w:shd w:val="clear" w:color="auto" w:fill="FFFFFF"/>
      <w:spacing w:line="341" w:lineRule="exact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CA3EB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4">
    <w:name w:val="Основной текст4"/>
    <w:rsid w:val="00CA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5</cp:revision>
  <dcterms:created xsi:type="dcterms:W3CDTF">2021-04-26T11:02:00Z</dcterms:created>
  <dcterms:modified xsi:type="dcterms:W3CDTF">2022-06-17T09:27:00Z</dcterms:modified>
</cp:coreProperties>
</file>